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C9" w:rsidRPr="0093788B" w:rsidRDefault="002012C9" w:rsidP="00C34C6C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222222"/>
          <w:sz w:val="32"/>
          <w:szCs w:val="32"/>
          <w:rtl/>
        </w:rPr>
      </w:pPr>
      <w:r w:rsidRPr="0093788B">
        <w:rPr>
          <w:rFonts w:ascii="Times New Roman" w:eastAsia="Times New Roman" w:hAnsi="Times New Roman" w:cs="B Titr" w:hint="cs"/>
          <w:b/>
          <w:bCs/>
          <w:color w:val="222222"/>
          <w:sz w:val="32"/>
          <w:szCs w:val="32"/>
          <w:rtl/>
        </w:rPr>
        <w:t>منابع آ</w:t>
      </w:r>
      <w:r w:rsidR="006E7F0B" w:rsidRPr="0093788B">
        <w:rPr>
          <w:rFonts w:ascii="Times New Roman" w:eastAsia="Times New Roman" w:hAnsi="Times New Roman" w:cs="B Titr" w:hint="cs"/>
          <w:b/>
          <w:bCs/>
          <w:color w:val="222222"/>
          <w:sz w:val="32"/>
          <w:szCs w:val="32"/>
          <w:rtl/>
        </w:rPr>
        <w:t>زمون جامع رشته حقوق عمومی</w:t>
      </w:r>
      <w:r w:rsidR="00C34C6C" w:rsidRPr="0093788B">
        <w:rPr>
          <w:rFonts w:ascii="Times New Roman" w:eastAsia="Times New Roman" w:hAnsi="Times New Roman" w:cs="B Titr" w:hint="cs"/>
          <w:b/>
          <w:bCs/>
          <w:color w:val="222222"/>
          <w:sz w:val="32"/>
          <w:szCs w:val="32"/>
          <w:rtl/>
        </w:rPr>
        <w:t xml:space="preserve"> نیم</w:t>
      </w:r>
      <w:bookmarkStart w:id="0" w:name="_GoBack"/>
      <w:bookmarkEnd w:id="0"/>
      <w:r w:rsidR="00C34C6C" w:rsidRPr="0093788B">
        <w:rPr>
          <w:rFonts w:ascii="Times New Roman" w:eastAsia="Times New Roman" w:hAnsi="Times New Roman" w:cs="B Titr" w:hint="cs"/>
          <w:b/>
          <w:bCs/>
          <w:color w:val="222222"/>
          <w:sz w:val="32"/>
          <w:szCs w:val="32"/>
          <w:rtl/>
        </w:rPr>
        <w:t>سال دوم 1401ـ 1400</w:t>
      </w:r>
    </w:p>
    <w:p w:rsidR="002012C9" w:rsidRPr="002012C9" w:rsidRDefault="002012C9" w:rsidP="002012C9">
      <w:pPr>
        <w:tabs>
          <w:tab w:val="left" w:pos="5778"/>
        </w:tabs>
        <w:bidi/>
        <w:spacing w:after="20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28"/>
          <w:szCs w:val="28"/>
        </w:rPr>
      </w:pPr>
    </w:p>
    <w:p w:rsidR="002012C9" w:rsidRPr="006E7F0B" w:rsidRDefault="006E7F0B" w:rsidP="002012C9">
      <w:pPr>
        <w:tabs>
          <w:tab w:val="left" w:pos="5778"/>
        </w:tabs>
        <w:bidi/>
        <w:spacing w:after="200" w:line="240" w:lineRule="auto"/>
        <w:jc w:val="center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  <w:r w:rsidRPr="006E7F0B"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>الف</w:t>
      </w:r>
      <w:r w:rsidR="002012C9" w:rsidRPr="006E7F0B"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 xml:space="preserve">= </w:t>
      </w:r>
      <w:r w:rsidR="002012C9"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درس نظارت بر اعمال حکومت</w:t>
      </w:r>
    </w:p>
    <w:p w:rsidR="002012C9" w:rsidRPr="006E7F0B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کتب فارسی</w:t>
      </w:r>
    </w:p>
    <w:p w:rsidR="002012C9" w:rsidRPr="006E7F0B" w:rsidRDefault="00CA5C2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آگاه وحید</w:t>
      </w:r>
      <w:r w:rsidR="002012C9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="002012C9"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بنیادین و اصول حقوق عمومی در رویه هیئت عمومی دیوان عدالت اداری</w:t>
      </w:r>
      <w:r w:rsidR="002012C9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1389.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بهنیا، مسیح،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اصل انتظار مشروع </w:t>
      </w:r>
      <w:r w:rsidRPr="006E7F0B">
        <w:rPr>
          <w:rFonts w:ascii="Times New Roman" w:eastAsia="Calibri" w:hAnsi="Times New Roman" w:cs="Times New Roman"/>
          <w:i/>
          <w:iCs/>
          <w:sz w:val="28"/>
          <w:szCs w:val="28"/>
          <w:rtl/>
          <w:lang w:bidi="fa-IR"/>
        </w:rPr>
        <w:t>–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 مفهوم، مبانی و شیوه‌های حمایت در حقوق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خرسندی، 1393.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پژوهشکده تحقیقات استراتژیک، گروه پژوهش‌های حقوقی و فقهی،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دیوان عدالت اداری؛ بازخوانی جایگاه، صلاحیت و دادرسی قضایی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مرکز تحقیقات استراتژیک، 1386.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فاورو، لویی،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دادگاه‌های قانون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علی اکبر گرجی ازندریانی، تهران، میزان، 1388.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فلاح‌زاده، علی</w:t>
      </w:r>
      <w:r w:rsidR="00456D2D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محمد و همکاران،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تفکیک تقنین و اجراء </w:t>
      </w:r>
      <w:r w:rsidRPr="006E7F0B">
        <w:rPr>
          <w:rFonts w:ascii="Times New Roman" w:eastAsia="Calibri" w:hAnsi="Times New Roman" w:cs="Times New Roman"/>
          <w:i/>
          <w:iCs/>
          <w:sz w:val="28"/>
          <w:szCs w:val="28"/>
          <w:rtl/>
          <w:lang w:bidi="fa-IR"/>
        </w:rPr>
        <w:t>–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 تحلیل مرزهای صلاحیت تقنینی در روابط قوای مقننه و مجریه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مرکز تحقیقات شورای نگهبان، 1391.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صدرالحفاظی ( سید نصرالله)،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نظارت قضایی بر اعمال دولت در دیوان عدالت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شهریار، 1372.</w:t>
      </w:r>
    </w:p>
    <w:p w:rsidR="002012C9" w:rsidRPr="00C34C6C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معاونت آموزشی پژوهشی دیوان عدالت اداری،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دیوان عدالت اداری : صلاحیت قضایی و دادرسی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انتشارت دانشگاه آزاد اسلامی واحد تهران مرکزی، 1388.</w:t>
      </w:r>
    </w:p>
    <w:p w:rsidR="00CA5C25" w:rsidRPr="00C34C6C" w:rsidRDefault="00CA5C25" w:rsidP="00CA5C25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راسخ، محمد، </w:t>
      </w:r>
      <w:r w:rsidRPr="00C34C6C">
        <w:rPr>
          <w:rFonts w:ascii="Calibri" w:eastAsia="Calibri" w:hAnsi="Calibri" w:cs="B Nazanin" w:hint="cs"/>
          <w:i/>
          <w:iCs/>
          <w:color w:val="000000" w:themeColor="text1"/>
          <w:sz w:val="28"/>
          <w:szCs w:val="28"/>
          <w:rtl/>
          <w:lang w:bidi="fa-IR"/>
        </w:rPr>
        <w:t>نظارت و تعادل در نظام حقوق اساسي</w:t>
      </w: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، تهران، انتشارات دراك، </w:t>
      </w:r>
      <w:r w:rsidR="00C26A3B"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1390. 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معاونت حقوقی ریاست جمهوری،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مرزهای تقنین و اجرا در قانون اساسی جمهوری اسلامی ایران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انتشارات ریاست جمهوری، 1389.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مرادی برلیان، مهدی،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اصل تناسب در نظام حقوقی اتحادیه اروپایی با نگاهی به آرای دیوان عدالت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خرسندی، 1392.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موسی‌زاده، ابراهیم و جوکار فضل‌الله،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آمبودزمان و نهادهای مشابه آن در نظام حقوقی جمهوری اسلامی ایران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دادگستر، 1391.</w:t>
      </w:r>
    </w:p>
    <w:p w:rsidR="002012C9" w:rsidRPr="00C34C6C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موسی‌زاده، ابراهیم و همکاران،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دادرسی اساسی در جمهوری اسلامی ایران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مرکز تحقیقات شورای نگهبان، 1392.</w:t>
      </w:r>
    </w:p>
    <w:p w:rsidR="00822516" w:rsidRPr="00C34C6C" w:rsidRDefault="00822516" w:rsidP="00822516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موسي زاده، ابراهيم و عميد زنجاني، عباسعلي، نظارت بر اعمال حكومت و عدالت اداري، تهران، دانشگاه تهران، 1397. 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مولابیگی، غلامرضا،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صلاحیت و آیین دادرسی دیوان عدالت اداری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1393.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نجابت‌خواه، مرتضی،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قانون دیوان عدالت اداری در نظم حقوقی کنونی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1390.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واعظی، سید مجتبی،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دادگستری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جاودانه، 1390.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هداوند (مهدی) و مشهدی (علی)،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اصول حقوق اداری (در پرتوی آراء دیوان عدالت اداری)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معاونت حقوقی و توسعه‌ی قضایی قوه‌ی قضاییه، مرکز توسعه‌ی قضایی، 1389.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هداوند، مهدی،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اداری تطبیقی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ج.2، تهران، سمت، 1389.</w:t>
      </w:r>
    </w:p>
    <w:p w:rsidR="002012C9" w:rsidRPr="006E7F0B" w:rsidRDefault="0003493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 xml:space="preserve">منتسکیو، </w:t>
      </w:r>
      <w:r w:rsidR="002012C9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روح القوانین ترجمه علی اکبر مهتدی. تهران. امیر کنبیرچاپ نهم</w:t>
      </w: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1370</w:t>
      </w:r>
    </w:p>
    <w:p w:rsidR="002012C9" w:rsidRPr="006E7F0B" w:rsidRDefault="0003493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 xml:space="preserve">مهرپور حسین. </w:t>
      </w:r>
      <w:r w:rsidR="002012C9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مجموعه نظریات شورای نگهبان. تهران. انتشارات کیهان</w:t>
      </w: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1371</w:t>
      </w:r>
    </w:p>
    <w:p w:rsidR="002012C9" w:rsidRPr="006E7F0B" w:rsidRDefault="002012C9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مهرپور. حسین انتخابات و نظارت شورای نگهبان در نظارت استصوابی. چاپ اول. تهران. نشر افکار</w:t>
      </w:r>
      <w:r w:rsidR="00034935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1387.</w:t>
      </w:r>
    </w:p>
    <w:p w:rsidR="002012C9" w:rsidRPr="006E7F0B" w:rsidRDefault="00034935" w:rsidP="00456D2D">
      <w:pPr>
        <w:pStyle w:val="ListParagraph"/>
        <w:numPr>
          <w:ilvl w:val="0"/>
          <w:numId w:val="4"/>
        </w:numPr>
        <w:bidi/>
        <w:spacing w:after="200" w:line="240" w:lineRule="auto"/>
        <w:jc w:val="both"/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  <w:rtl/>
        </w:rPr>
      </w:pP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 xml:space="preserve">هاشمی. سید محمد. </w:t>
      </w:r>
      <w:r w:rsidR="002012C9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حقوق اساسی جمهوری اسلامی ایران. تهران نشر دادگستر</w:t>
      </w:r>
      <w:r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، 1378.</w:t>
      </w:r>
    </w:p>
    <w:p w:rsidR="002012C9" w:rsidRPr="006E7F0B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E7F0B">
        <w:rPr>
          <w:rFonts w:ascii="Times New Roman" w:eastAsia="Calibri" w:hAnsi="Times New Roman" w:cs="B Nazanin"/>
          <w:color w:val="222222"/>
          <w:sz w:val="28"/>
          <w:szCs w:val="28"/>
        </w:rPr>
        <w:br/>
      </w:r>
      <w:r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مقاله‌های فارسی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بایرون، سوفی، «رشد و گسترش صیانت از قانون اساسی در فرانسه»، ترجمه علیرضا اسدپور تهرانی،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ش.6 و 7، 1385، ص.197.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تیلا، پروانه، « تفسیر قضایی قانون اساسی در رویه دیوان عدالت اداری»،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پژوهشهای حقوقی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ش.5، 1383،ص.51.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فاورو، لویی، «شاخصه های الگوی اروپایی صیانت از قانون اساسی»، ترجمه علی اکبر گرجی،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 6 و 7، 1385، ص.369.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واعظی، سید مجتبی، «نقش دیوان عدالت اداری در دادرسی شرعی مقررات اداری»،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مطالعات حقوقی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ش.3، 1388، ص.125.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 xml:space="preserve">« بازخوانی اصل تفکیک قوا در آرای هیئت عمومی دیوان عدالت اداری»، </w:t>
      </w:r>
      <w:r w:rsidRPr="006E7F0B">
        <w:rPr>
          <w:rFonts w:ascii="Calibri" w:eastAsia="Calibri" w:hAnsi="Calibri" w:cs="B Nazanin" w:hint="cs"/>
          <w:iCs/>
          <w:sz w:val="28"/>
          <w:szCs w:val="28"/>
          <w:rtl/>
          <w:lang w:bidi="fa-IR"/>
        </w:rPr>
        <w:t>مجله حقوقی دادگستری</w:t>
      </w:r>
      <w:r w:rsidRPr="006E7F0B">
        <w:rPr>
          <w:rFonts w:ascii="Calibri" w:eastAsia="Calibri" w:hAnsi="Calibri" w:cs="B Nazanin" w:hint="cs"/>
          <w:i/>
          <w:sz w:val="28"/>
          <w:szCs w:val="28"/>
          <w:rtl/>
          <w:lang w:bidi="fa-IR"/>
        </w:rPr>
        <w:t>، ش.67، 1388، ص.39.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« اصل قانون مداری اعمال اداری»، </w:t>
      </w:r>
      <w:r w:rsidRPr="006E7F0B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آموزه‌های حقوقی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ش.12، 1388، ص.85.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«نظارت قضایی دیوان عدالت اداری بر مقررات اجرایی»، </w:t>
      </w:r>
      <w:r w:rsidRPr="006E7F0B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ویژه‌نامه هفته پژوهش پژوهش حقوق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ش.37، 1391، ص.171.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 وجوکار فضل‌ا.. و محمدی، عمران ، «بررسی آمبودزمان اروپایی و تاثیر آن بر شفافیت در نهادهای اتحادیه اروپا»،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تحقیقات حقوقی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شماره 62، 1392، </w:t>
      </w:r>
    </w:p>
    <w:p w:rsidR="00456D2D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i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«</w:t>
      </w:r>
      <w:r w:rsidRPr="006E7F0B">
        <w:rPr>
          <w:rFonts w:ascii="Calibri" w:eastAsia="Calibri" w:hAnsi="Calibri" w:cs="B Nazanin" w:hint="cs"/>
          <w:sz w:val="28"/>
          <w:szCs w:val="28"/>
          <w:rtl/>
        </w:rPr>
        <w:t>ارزیابی صلاحیت نظارتی رییس مجلس شورای اسلامی بر مصوبات دولت»،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</w:rPr>
        <w:t>پژوهش‌نامه حقوق اسلامی</w:t>
      </w:r>
      <w:r w:rsidRPr="006E7F0B">
        <w:rPr>
          <w:rFonts w:ascii="Calibri" w:eastAsia="Calibri" w:hAnsi="Calibri" w:cs="B Nazanin" w:hint="cs"/>
          <w:sz w:val="28"/>
          <w:szCs w:val="28"/>
          <w:rtl/>
        </w:rPr>
        <w:t>، ش.39، 1393، ص.213.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i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هامون، فرانسیس و داینر، سلین، « صیانت از قانون اساسی در فرانسه و ایالات متحده آمریکا»، </w:t>
      </w:r>
      <w:r w:rsidRPr="006E7F0B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ش. 2، 1383، ص.79.</w:t>
      </w:r>
    </w:p>
    <w:p w:rsidR="002012C9" w:rsidRPr="006E7F0B" w:rsidRDefault="002012C9" w:rsidP="00456D2D">
      <w:pPr>
        <w:pStyle w:val="ListParagraph"/>
        <w:numPr>
          <w:ilvl w:val="0"/>
          <w:numId w:val="6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هداوند، مهدی، «نظارت قضایی : تحلیل مفهومی تحولات اساسی»، </w:t>
      </w:r>
      <w:r w:rsidRPr="006E7F0B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>، ش.9، 1387.</w:t>
      </w:r>
    </w:p>
    <w:p w:rsidR="002012C9" w:rsidRPr="006E7F0B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6E7F0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منابع انگلیسی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Alder, John,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General Principles of Constitutional and Administrative Law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Fourth edition, Palgrave Macmillan, 2002.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Harlow, Carol and Rawlings, Richard,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Law and Administration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Third edition, Cambridge, 2009.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M. </w:t>
      </w:r>
      <w:proofErr w:type="spellStart"/>
      <w:r w:rsidRPr="006E7F0B">
        <w:rPr>
          <w:rFonts w:ascii="Calibri" w:eastAsia="Calibri" w:hAnsi="Calibri" w:cs="B Nazanin"/>
          <w:sz w:val="28"/>
          <w:szCs w:val="28"/>
          <w:lang w:bidi="fa-IR"/>
        </w:rPr>
        <w:t>Zoethout</w:t>
      </w:r>
      <w:proofErr w:type="spellEnd"/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, Carlo,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Control in Constitutional Law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, </w:t>
      </w:r>
      <w:proofErr w:type="spellStart"/>
      <w:r w:rsidRPr="006E7F0B">
        <w:rPr>
          <w:rFonts w:ascii="Calibri" w:eastAsia="Calibri" w:hAnsi="Calibri" w:cs="B Nazanin"/>
          <w:sz w:val="28"/>
          <w:szCs w:val="28"/>
          <w:lang w:bidi="fa-IR"/>
        </w:rPr>
        <w:t>Martinus</w:t>
      </w:r>
      <w:proofErr w:type="spellEnd"/>
      <w:r w:rsidR="00456D2D" w:rsidRPr="006E7F0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>Nijhoff</w:t>
      </w:r>
      <w:proofErr w:type="spellEnd"/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 Publishers,1993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pacing w:after="200" w:line="24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Stott, David and Felix, </w:t>
      </w:r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>Alexandra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Principles Administrative Law</w:t>
      </w:r>
      <w:r w:rsidRPr="006E7F0B">
        <w:rPr>
          <w:rFonts w:ascii="Calibri" w:eastAsia="Calibri" w:hAnsi="Calibri" w:cs="B Nazanin"/>
          <w:sz w:val="28"/>
          <w:szCs w:val="28"/>
          <w:lang w:bidi="fa-IR"/>
        </w:rPr>
        <w:t>, Cavendish Publishing, 1997.</w:t>
      </w:r>
    </w:p>
    <w:p w:rsidR="002012C9" w:rsidRPr="006E7F0B" w:rsidRDefault="002012C9" w:rsidP="0027756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Calibri" w:hAnsi="Calibri" w:cs="B Nazanin"/>
          <w:sz w:val="28"/>
          <w:szCs w:val="28"/>
          <w:lang w:bidi="fa-IR"/>
        </w:rPr>
      </w:pPr>
      <w:r w:rsidRPr="006E7F0B">
        <w:rPr>
          <w:rFonts w:ascii="Calibri" w:eastAsia="Calibri" w:hAnsi="Calibri" w:cs="B Nazanin"/>
          <w:sz w:val="28"/>
          <w:szCs w:val="28"/>
          <w:lang w:bidi="fa-IR"/>
        </w:rPr>
        <w:t xml:space="preserve">Transparency International Source Book, </w:t>
      </w:r>
      <w:r w:rsidRPr="006E7F0B">
        <w:rPr>
          <w:rFonts w:ascii="Calibri" w:eastAsia="Calibri" w:hAnsi="Calibri" w:cs="B Nazanin"/>
          <w:i/>
          <w:iCs/>
          <w:sz w:val="28"/>
          <w:szCs w:val="28"/>
          <w:lang w:bidi="fa-IR"/>
        </w:rPr>
        <w:t>Judicial Review of Administrative Action</w:t>
      </w:r>
      <w:r w:rsidR="00456D2D" w:rsidRPr="006E7F0B">
        <w:rPr>
          <w:rFonts w:ascii="Calibri" w:eastAsia="Calibri" w:hAnsi="Calibri" w:cs="B Nazanin"/>
          <w:sz w:val="28"/>
          <w:szCs w:val="28"/>
          <w:lang w:bidi="fa-IR"/>
        </w:rPr>
        <w:t>,2000</w:t>
      </w:r>
    </w:p>
    <w:p w:rsidR="002012C9" w:rsidRPr="00690BC8" w:rsidRDefault="002012C9" w:rsidP="00690B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</w:rPr>
        <w:t>Fleming. J.E. Judicial Review without Judicial Supremacy. Taking the Constitution</w:t>
      </w:r>
      <w:r w:rsidR="00456D2D" w:rsidRPr="006E7F0B">
        <w:rPr>
          <w:rFonts w:ascii="Times New Roman" w:eastAsia="Calibri" w:hAnsi="Times New Roman" w:cs="B Nazanin"/>
          <w:color w:val="222222"/>
          <w:sz w:val="28"/>
          <w:szCs w:val="28"/>
        </w:rPr>
        <w:t xml:space="preserve"> </w:t>
      </w:r>
      <w:r w:rsidRPr="006E7F0B"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</w:rPr>
        <w:t>Seriously outside the Cou</w:t>
      </w:r>
      <w:r w:rsidR="00277560" w:rsidRPr="006E7F0B">
        <w:rPr>
          <w:rFonts w:ascii="Times New Roman" w:eastAsia="Calibri" w:hAnsi="Times New Roman" w:cs="B Nazanin"/>
          <w:color w:val="222222"/>
          <w:sz w:val="28"/>
          <w:szCs w:val="28"/>
          <w:shd w:val="clear" w:color="auto" w:fill="FFFFFF"/>
        </w:rPr>
        <w:t>rts. Fordham Law Review 73(4),</w:t>
      </w:r>
      <w:r w:rsidR="00277560" w:rsidRPr="006E7F0B">
        <w:rPr>
          <w:rFonts w:ascii="Times New Roman" w:eastAsia="Calibri" w:hAnsi="Times New Roman" w:cs="B Nazanin" w:hint="cs"/>
          <w:color w:val="222222"/>
          <w:sz w:val="28"/>
          <w:szCs w:val="28"/>
          <w:shd w:val="clear" w:color="auto" w:fill="FFFFFF"/>
          <w:rtl/>
        </w:rPr>
        <w:t>2005</w:t>
      </w:r>
      <w:r w:rsidRPr="00277560">
        <w:rPr>
          <w:rFonts w:ascii="Times New Roman" w:eastAsia="Calibri" w:hAnsi="Times New Roman" w:cs="B Nazanin"/>
          <w:color w:val="222222"/>
          <w:sz w:val="28"/>
          <w:szCs w:val="28"/>
        </w:rPr>
        <w:br/>
      </w:r>
    </w:p>
    <w:p w:rsidR="006E7F0B" w:rsidRDefault="006E7F0B" w:rsidP="006E7F0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>ب</w:t>
      </w:r>
      <w:r w:rsidRPr="006E7F0B">
        <w:rPr>
          <w:rFonts w:ascii="Times New Roman" w:eastAsia="Times New Roman" w:hAnsi="Times New Roman" w:cs="B Nazanin" w:hint="cs"/>
          <w:b/>
          <w:bCs/>
          <w:color w:val="222222"/>
          <w:sz w:val="28"/>
          <w:szCs w:val="28"/>
          <w:rtl/>
        </w:rPr>
        <w:t>= تحقیق در متون و اسناد حقوق عمومی</w:t>
      </w:r>
    </w:p>
    <w:p w:rsidR="006E7F0B" w:rsidRPr="006E7F0B" w:rsidRDefault="006E7F0B" w:rsidP="006E7F0B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222222"/>
          <w:sz w:val="28"/>
          <w:szCs w:val="28"/>
        </w:rPr>
      </w:pP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  <w:lang w:bidi="fa-IR"/>
        </w:rPr>
        <w:t xml:space="preserve">رویه قضایی در شعب دیوان عدالت اداری، جلد اول و دوم، انتشارات جنگل، </w:t>
      </w: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  <w:lang w:bidi="fa-IR"/>
        </w:rPr>
        <w:t xml:space="preserve">محمدعلی فلاح زاده و همکاران، تفکیک تقنین و اجرا، </w:t>
      </w: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 xml:space="preserve">انتشارات ریاست جمهوری، </w:t>
      </w: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>آرای وحدت رویه شکلی هیات عمومی دیوان عدالت، پژوهشگاه قوه قضاییه،</w:t>
      </w:r>
    </w:p>
    <w:p w:rsidR="006E7F0B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>مجموعه موضوعی آرای ابطالی هیات عمومی دیوان عدالت در حوزه کار و بیمه و تامین اجتماعی، معاونت حقوقی و پیشگیری و پژوهش دیوان عدالت اداری</w:t>
      </w:r>
    </w:p>
    <w:p w:rsidR="002012C9" w:rsidRPr="006E7F0B" w:rsidRDefault="006E7F0B" w:rsidP="006E7F0B">
      <w:pPr>
        <w:numPr>
          <w:ilvl w:val="0"/>
          <w:numId w:val="13"/>
        </w:num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  <w:r w:rsidRPr="006E7F0B">
        <w:rPr>
          <w:rFonts w:ascii="Times New Roman" w:eastAsia="Times New Roman" w:hAnsi="Times New Roman" w:cs="B Nazanin" w:hint="cs"/>
          <w:color w:val="222222"/>
          <w:sz w:val="28"/>
          <w:szCs w:val="28"/>
          <w:rtl/>
        </w:rPr>
        <w:t>مجموعه موضوعی آرای وحدت رویه هیات عمومی دیوان عدالت در حوزه اداری استخدامی و فرهنگی معاونت حقوقی و پیشگیری و پژوهش دیوان عدالت اداری</w:t>
      </w:r>
    </w:p>
    <w:p w:rsidR="002012C9" w:rsidRPr="002012C9" w:rsidRDefault="002012C9" w:rsidP="002012C9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</w:p>
    <w:p w:rsidR="002012C9" w:rsidRPr="002012C9" w:rsidRDefault="002012C9" w:rsidP="002012C9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222222"/>
          <w:sz w:val="28"/>
          <w:szCs w:val="28"/>
        </w:rPr>
      </w:pPr>
    </w:p>
    <w:p w:rsidR="002012C9" w:rsidRPr="002012C9" w:rsidRDefault="002012C9" w:rsidP="002012C9">
      <w:pPr>
        <w:tabs>
          <w:tab w:val="left" w:pos="5778"/>
        </w:tabs>
        <w:bidi/>
        <w:spacing w:after="200" w:line="240" w:lineRule="auto"/>
        <w:jc w:val="center"/>
        <w:rPr>
          <w:rFonts w:ascii="Calibri" w:eastAsia="Times New Roman" w:hAnsi="Calibri" w:cs="B Nazanin"/>
          <w:b/>
          <w:bCs/>
          <w:sz w:val="28"/>
          <w:szCs w:val="28"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ج: تحلیل مکاتب فلسفی و کلامی حقوق عمومی</w:t>
      </w:r>
    </w:p>
    <w:p w:rsidR="002012C9" w:rsidRPr="002012C9" w:rsidRDefault="002012C9" w:rsidP="002012C9">
      <w:pPr>
        <w:tabs>
          <w:tab w:val="left" w:pos="5778"/>
        </w:tabs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کتب فارسی 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tabs>
          <w:tab w:val="left" w:pos="5778"/>
        </w:tabs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پللو، روبر</w:t>
      </w:r>
      <w:r w:rsidR="00277560"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تو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شهروند و دولت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ترجمه </w:t>
      </w:r>
      <w:r w:rsidR="00277560"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سید 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ابوالفضل قاضی، تهران، انتشارات دانشگاه تهران، 1370.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تروتابا، لویی و ایزوآر، پل،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محسن شیخ الاسلامی، شیراز، 1380.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دوگی، لئون،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دروس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محمدرضا ویژه، تهران، میزان، 1388.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راسخ، محمد،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 و مصلحت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تهران، طرح نو، 1381. 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زولر، الیزابت،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درآمدی بر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سید مجتبی واعظی، تهران، جنگل، 1389.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قاضی، ابوالفضل،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گفتارهایی در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دادگستر، 1375.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کاتوزیان، ناصر،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مبانی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دادگستر، 1377.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کانت، امانوئل،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فلسفه حقوق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ترجمه دکتر منوچهر صانعی دره بیدی، چاپ دوم، تهران، 1383. 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کلی، جان،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تاریخ مختصر تئوری حقوقی در غرب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طرح نو، 1382.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میشل، آندره دو و لالومی یر، پی یر،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ابوالفضل قاضی، تهران، دادگستر، 1376.</w:t>
      </w:r>
    </w:p>
    <w:p w:rsidR="002012C9" w:rsidRPr="00C34C6C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لاگلین، مارتین،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مبانی حقوق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ترجمه محمد راسخ، تهران، نی، 1388.</w:t>
      </w:r>
    </w:p>
    <w:p w:rsidR="006A597D" w:rsidRPr="00C34C6C" w:rsidRDefault="006A597D" w:rsidP="006A597D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C34C6C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وائل ابن حلاق، دولت ممتنع: اسلام، سياست، مخمصه اخلاقي مدرنيته، ترجمه دكتر مهدي رضايي، تهران، خرسندي، 1395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محمدرضا،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مبانی نظری و ساختار دولت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جنگل، 1390.</w:t>
      </w:r>
    </w:p>
    <w:p w:rsidR="002012C9" w:rsidRPr="00277560" w:rsidRDefault="002012C9" w:rsidP="00277560">
      <w:pPr>
        <w:pStyle w:val="ListParagraph"/>
        <w:numPr>
          <w:ilvl w:val="0"/>
          <w:numId w:val="8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هارت، هربرت،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مفهوم قانون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تهران، نی، 1391.</w:t>
      </w: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مقاله‌های فارسی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ابدالی، مهرزاد، «تحلیل مفاهیم اعتبار حقوقی و هنجار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پژوهش‌های حقوق تطبیقی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دوره 14، ش.2، 1389، ص.1.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پونتورو، ماری </w:t>
      </w:r>
      <w:r w:rsidRPr="0027756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–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کلر، «سه تفسیر از جهانی شدن حقوق </w:t>
      </w:r>
      <w:r w:rsidRPr="0027756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–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نگرش انتقادی بر جهش های حقوق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 xml:space="preserve"> عمومی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تحقیقات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ش. 47، 1387، ص.303.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شهابی، مهدی، «تعامل حقوق عمومی و حقوق خصوصی </w:t>
      </w:r>
      <w:r w:rsidRPr="00277560">
        <w:rPr>
          <w:rFonts w:ascii="Times New Roman" w:eastAsia="Calibri" w:hAnsi="Times New Roman" w:cs="Times New Roman"/>
          <w:sz w:val="28"/>
          <w:szCs w:val="28"/>
          <w:rtl/>
          <w:lang w:bidi="fa-IR"/>
        </w:rPr>
        <w:t>–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تاملی بر متغیرهای تحول نظام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حقوق اساسی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ش.12، 1388، ص.53.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شهابی، مهدی و جلالی، مریم، «تاثیرپذیری منبع قاعده‌ی حقوقی از منشاء الزام‌آوری قاعده‌ی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مجله حقوقی دادگستری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شماره 77، 1391، ص.99.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شهابی، مهدی و نیکویی، مرضیه، «تاملی بر نقش ارزش در فرآیند ایجاد قاعده حقوقی»،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مطالعات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دوره چهارم، ش.1، 1391، ص.103.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گرجی، علی اکبر، «حقوق عمومی و حقوق خصوصی : دوگانگی یا یگانگی؟»، </w:t>
      </w:r>
      <w:r w:rsidRPr="00277560">
        <w:rPr>
          <w:rFonts w:ascii="Calibri" w:eastAsia="Calibri" w:hAnsi="Calibri" w:cs="B Nazanin" w:hint="cs"/>
          <w:i/>
          <w:iCs/>
          <w:sz w:val="28"/>
          <w:szCs w:val="28"/>
          <w:rtl/>
          <w:lang w:bidi="fa-IR"/>
        </w:rPr>
        <w:t>تحقیقات حقوقی</w:t>
      </w: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>، ش. 47، 1387، ص. 141.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«</w:t>
      </w:r>
      <w:r w:rsidRPr="00277560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دگرگونی در مفهوم حاکمیت در حقوق عمومی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»، اط</w:t>
      </w:r>
      <w:r w:rsid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لاعات سیاسی اقتصادی، ش.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1385، ص.34.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«حاکمیت : اسطوره حقوق عمومی»، </w:t>
      </w:r>
      <w:r w:rsidRPr="00277560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حقوق اساسی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، شماره 17، 1391، ص.107.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ویژه، محمد رضا، 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«</w:t>
      </w:r>
      <w:r w:rsidRPr="00277560">
        <w:rPr>
          <w:rFonts w:ascii="Calibri" w:eastAsia="Calibri" w:hAnsi="Calibri" w:cs="B Nazanin" w:hint="cs"/>
          <w:bCs/>
          <w:i/>
          <w:sz w:val="28"/>
          <w:szCs w:val="28"/>
          <w:rtl/>
          <w:lang w:bidi="fa-IR"/>
        </w:rPr>
        <w:t>تحلیلی بر روابط دولت و نظم حقوقی در حقوق عمومی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>»، مطالعات حقوقی، دوره 5، شماره 1، تابستان 1392، ص.147</w:t>
      </w:r>
    </w:p>
    <w:p w:rsidR="002012C9" w:rsidRPr="00277560" w:rsidRDefault="002012C9" w:rsidP="00277560">
      <w:pPr>
        <w:pStyle w:val="ListParagraph"/>
        <w:numPr>
          <w:ilvl w:val="0"/>
          <w:numId w:val="9"/>
        </w:numPr>
        <w:bidi/>
        <w:spacing w:after="200" w:line="240" w:lineRule="auto"/>
        <w:ind w:right="90"/>
        <w:jc w:val="both"/>
        <w:rPr>
          <w:rFonts w:ascii="Calibri" w:eastAsia="Calibri" w:hAnsi="Calibri" w:cs="B Nazanin"/>
          <w:b/>
          <w:i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هابرماس ( یورگن)، « </w:t>
      </w:r>
      <w:r w:rsidRPr="00277560">
        <w:rPr>
          <w:rFonts w:ascii="Calibri" w:eastAsia="Calibri" w:hAnsi="Calibri" w:cs="B Nazanin" w:hint="cs"/>
          <w:b/>
          <w:iCs/>
          <w:sz w:val="28"/>
          <w:szCs w:val="28"/>
          <w:rtl/>
          <w:lang w:bidi="fa-IR"/>
        </w:rPr>
        <w:t>حوزه عمومی</w:t>
      </w:r>
      <w:r w:rsidRPr="00277560">
        <w:rPr>
          <w:rFonts w:ascii="Calibri" w:eastAsia="Calibri" w:hAnsi="Calibri" w:cs="B Nazanin" w:hint="cs"/>
          <w:b/>
          <w:i/>
          <w:sz w:val="28"/>
          <w:szCs w:val="28"/>
          <w:rtl/>
          <w:lang w:bidi="fa-IR"/>
        </w:rPr>
        <w:t xml:space="preserve">»، ترجمه جواد کارگزاری ، حقوق عمومی، ش.2، اسفند 1385، ص.42. </w:t>
      </w: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منابع انگلیسی</w:t>
      </w:r>
    </w:p>
    <w:p w:rsidR="002012C9" w:rsidRPr="00277560" w:rsidRDefault="002012C9" w:rsidP="00690BC8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proofErr w:type="spellStart"/>
      <w:r w:rsidRPr="00277560">
        <w:rPr>
          <w:rFonts w:ascii="Calibri" w:eastAsia="Calibri" w:hAnsi="Calibri" w:cs="B Nazanin"/>
          <w:sz w:val="28"/>
          <w:szCs w:val="28"/>
          <w:lang w:bidi="fa-IR"/>
        </w:rPr>
        <w:t>Auby</w:t>
      </w:r>
      <w:proofErr w:type="spellEnd"/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, Jean-Bernard and Freedland, Mark,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The Public Law/Private Law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, Paris, </w:t>
      </w:r>
      <w:r w:rsidR="00690BC8" w:rsidRPr="00690BC8">
        <w:rPr>
          <w:rFonts w:ascii="Calibri" w:eastAsia="Calibri" w:hAnsi="Calibri" w:cs="B Nazanin"/>
          <w:sz w:val="28"/>
          <w:szCs w:val="28"/>
          <w:lang w:bidi="fa-IR"/>
        </w:rPr>
        <w:t>Bloomsbury Publishing, 2006</w:t>
      </w:r>
      <w:r w:rsidR="00690BC8">
        <w:rPr>
          <w:rFonts w:ascii="Calibri" w:eastAsia="Calibri" w:hAnsi="Calibri" w:cs="B Nazanin"/>
          <w:sz w:val="28"/>
          <w:szCs w:val="28"/>
          <w:lang w:bidi="fa-IR"/>
        </w:rPr>
        <w:t xml:space="preserve">. </w:t>
      </w:r>
    </w:p>
    <w:p w:rsidR="002012C9" w:rsidRPr="00277560" w:rsidRDefault="002012C9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Chaim N. </w:t>
      </w:r>
      <w:proofErr w:type="spellStart"/>
      <w:r w:rsidRPr="00277560">
        <w:rPr>
          <w:rFonts w:ascii="Calibri" w:eastAsia="Calibri" w:hAnsi="Calibri" w:cs="B Nazanin"/>
          <w:sz w:val="28"/>
          <w:szCs w:val="28"/>
          <w:lang w:bidi="fa-IR"/>
        </w:rPr>
        <w:t>Saiman</w:t>
      </w:r>
      <w:proofErr w:type="spellEnd"/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, «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Public Law, Private Law and legal science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>», American Journal of Comparative Law, Vol. 56, 2008, n°691.</w:t>
      </w:r>
    </w:p>
    <w:p w:rsidR="002012C9" w:rsidRPr="00277560" w:rsidRDefault="002012C9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Gabriele Ganz,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Understanding Public Law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>, 3th. Ed., London, Sweet &amp; Maxwell, 2001.</w:t>
      </w:r>
    </w:p>
    <w:p w:rsidR="002012C9" w:rsidRPr="00277560" w:rsidRDefault="002012C9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Geoffrey Marshall, </w:t>
      </w:r>
      <w:r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Constitutional Theory</w:t>
      </w:r>
      <w:r w:rsidRPr="00277560">
        <w:rPr>
          <w:rFonts w:ascii="Calibri" w:eastAsia="Calibri" w:hAnsi="Calibri" w:cs="B Nazanin"/>
          <w:sz w:val="28"/>
          <w:szCs w:val="28"/>
          <w:lang w:bidi="fa-IR"/>
        </w:rPr>
        <w:t>, Oxford, 1980.</w:t>
      </w:r>
    </w:p>
    <w:p w:rsidR="002012C9" w:rsidRDefault="005F7206" w:rsidP="0027756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proofErr w:type="spellStart"/>
      <w:proofErr w:type="gramStart"/>
      <w:r>
        <w:rPr>
          <w:rFonts w:ascii="Calibri" w:eastAsia="Calibri" w:hAnsi="Calibri" w:cs="B Nazanin"/>
          <w:sz w:val="28"/>
          <w:szCs w:val="28"/>
          <w:lang w:bidi="fa-IR"/>
        </w:rPr>
        <w:t>Loughlin</w:t>
      </w:r>
      <w:proofErr w:type="spellEnd"/>
      <w:r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2012C9"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 Martin</w:t>
      </w:r>
      <w:proofErr w:type="gramEnd"/>
      <w:r w:rsidR="002012C9" w:rsidRPr="00277560">
        <w:rPr>
          <w:rFonts w:ascii="Calibri" w:eastAsia="Calibri" w:hAnsi="Calibri" w:cs="B Nazanin"/>
          <w:sz w:val="28"/>
          <w:szCs w:val="28"/>
          <w:lang w:bidi="fa-IR"/>
        </w:rPr>
        <w:t xml:space="preserve">, </w:t>
      </w:r>
      <w:r w:rsidR="002012C9" w:rsidRPr="00277560">
        <w:rPr>
          <w:rFonts w:ascii="Calibri" w:eastAsia="Calibri" w:hAnsi="Calibri" w:cs="B Nazanin"/>
          <w:i/>
          <w:iCs/>
          <w:sz w:val="28"/>
          <w:szCs w:val="28"/>
          <w:lang w:bidi="fa-IR"/>
        </w:rPr>
        <w:t>Foundations of Public Law</w:t>
      </w:r>
      <w:r w:rsidR="002012C9" w:rsidRPr="00277560">
        <w:rPr>
          <w:rFonts w:ascii="Calibri" w:eastAsia="Calibri" w:hAnsi="Calibri" w:cs="B Nazanin"/>
          <w:sz w:val="28"/>
          <w:szCs w:val="28"/>
          <w:lang w:bidi="fa-IR"/>
        </w:rPr>
        <w:t>, Oxford, 2011.</w:t>
      </w:r>
    </w:p>
    <w:p w:rsidR="00690BC8" w:rsidRPr="00277560" w:rsidRDefault="00690BC8" w:rsidP="00690BC8">
      <w:pPr>
        <w:pStyle w:val="ListParagraph"/>
        <w:spacing w:after="200" w:line="24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</w:p>
    <w:p w:rsidR="002012C9" w:rsidRPr="00690BC8" w:rsidRDefault="002012C9" w:rsidP="00690BC8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t>د: مبانی تحلیلی نظام جمهوری اسلامی ایران</w:t>
      </w:r>
    </w:p>
    <w:p w:rsidR="002012C9" w:rsidRDefault="002012C9" w:rsidP="00277560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/>
          <w:sz w:val="28"/>
          <w:szCs w:val="28"/>
          <w:lang w:bidi="fa-IR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  <w:lang w:bidi="fa-IR"/>
        </w:rPr>
        <w:t>نظریات تفسیری شورای نگهبان در خصوص اصول قانون اساسی</w:t>
      </w:r>
    </w:p>
    <w:p w:rsidR="00277560" w:rsidRPr="00C34C6C" w:rsidRDefault="00277560" w:rsidP="00277560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277560">
        <w:rPr>
          <w:rFonts w:ascii="Calibri" w:eastAsia="Calibri" w:hAnsi="Calibri" w:cs="B Nazanin"/>
          <w:color w:val="000000"/>
          <w:sz w:val="28"/>
          <w:szCs w:val="28"/>
          <w:rtl/>
          <w:lang w:bidi="fa-IR"/>
        </w:rPr>
        <w:t>صورت مشروح مذاكرات مجلس بررسي نهايي قانون اساسي جمهوري اسلامي ايران</w:t>
      </w:r>
    </w:p>
    <w:p w:rsidR="00165232" w:rsidRPr="00C34C6C" w:rsidRDefault="00165232" w:rsidP="00165232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مشروح مذاكرات شوراي بازنگري قانون اساسي جمهوري اسلامي ايران</w:t>
      </w:r>
    </w:p>
    <w:p w:rsidR="00811449" w:rsidRPr="00C34C6C" w:rsidRDefault="00811449" w:rsidP="0081144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C34C6C">
        <w:rPr>
          <w:rFonts w:ascii="Calibri" w:eastAsia="Calibri" w:hAnsi="Calibri" w:cs="B Nazanin" w:hint="cs"/>
          <w:i/>
          <w:iCs/>
          <w:color w:val="000000" w:themeColor="text1"/>
          <w:sz w:val="28"/>
          <w:szCs w:val="28"/>
          <w:rtl/>
          <w:lang w:bidi="fa-IR"/>
        </w:rPr>
        <w:t>حقوق اساسي ايران</w:t>
      </w: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، عباسعلي عميد زنجاني، انتشارات دانشگاه تهران، 1385. 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  <w:lang w:bidi="fa-IR"/>
        </w:rPr>
        <w:t>جزوه درس مبانی تحلیلی نظام جمهوری اسلامی ایران آقای دکتر هاشمی-دانشگاه شهید بهشتی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کتاب نگاهی به مبانی تحلیلی نظام جمهوری اسلامی ایران، تاملاتی در فقه سیاسی و مبانی فقهی قانون اساسی جمهوری اسلامی ایران، تالیف محمد جواد ارسطا، بوستان کتاب، 1391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کتاب قواعد فقه بخش حقوق عمومی، عباسعلی عمید زنجانی، انتشارات سمت، 1386</w:t>
      </w:r>
    </w:p>
    <w:p w:rsidR="002012C9" w:rsidRPr="00C34C6C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 xml:space="preserve">کتاب مبانی مشروعیت حکومت در اندیشه سیاسی شیعه، محمد رضا حاتمی انتشارات علوم و فنون رازی چاپ اول 1389 </w:t>
      </w:r>
    </w:p>
    <w:p w:rsidR="00CA4BE0" w:rsidRPr="00C34C6C" w:rsidRDefault="00811449" w:rsidP="0081144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نگاهي به مباني تحليلي نظام جمهوري اسلامي ايران، محمد جواد ارسطا، قم، بوستان قم، 1394.</w:t>
      </w:r>
    </w:p>
    <w:p w:rsidR="00811449" w:rsidRPr="00C34C6C" w:rsidRDefault="00CA4BE0" w:rsidP="007911D8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مباني و مستندات قانون اساسي جمهوري اسلامي ايران، تهران، دبيرخانه مجلس خبرگان رهبري، 1386. </w:t>
      </w:r>
      <w:r w:rsidR="00811449" w:rsidRPr="00C34C6C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6794E" w:rsidRPr="00C34C6C" w:rsidRDefault="007911D8" w:rsidP="0046794E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34C6C">
        <w:rPr>
          <w:rFonts w:ascii="Calibri" w:eastAsia="Calibri" w:hAnsi="Calibri" w:cs="B Nazanin" w:hint="cs"/>
          <w:i/>
          <w:iCs/>
          <w:color w:val="000000" w:themeColor="text1"/>
          <w:sz w:val="28"/>
          <w:szCs w:val="28"/>
          <w:rtl/>
          <w:lang w:bidi="fa-IR"/>
        </w:rPr>
        <w:t>نظارت و تعادل در نظام حقوق اساسي</w:t>
      </w: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8D4947"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محمد راسخ </w:t>
      </w: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تهران، انتشارات دراك، 1390.</w:t>
      </w:r>
    </w:p>
    <w:p w:rsidR="0046794E" w:rsidRPr="00C34C6C" w:rsidRDefault="003806EE" w:rsidP="0046794E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آزادي اجتماعات دز نظام بين المللي حقوق بشر و سيستم حقوقي ايران، دكتر رضا اسلامي و محمد كمال وند، تهران، انتشارات مجد، 1394. </w:t>
      </w:r>
    </w:p>
    <w:p w:rsidR="00160004" w:rsidRPr="00C34C6C" w:rsidRDefault="00160004" w:rsidP="0046794E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مختصر حقوق اساسي جمهوري اسلامي ايران، دكتر حسين مهرپور، تهران، نشر دادگستر، 1387. </w:t>
      </w:r>
    </w:p>
    <w:p w:rsidR="00432069" w:rsidRPr="00C34C6C" w:rsidRDefault="00432069" w:rsidP="0043206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>جستاري بر قانون اساسي جمهوري اسلامي ايران، دكتر محمد محمدي گرگاني، تهران، شهر دانش، 1393.</w:t>
      </w:r>
    </w:p>
    <w:p w:rsidR="00496279" w:rsidRPr="00C34C6C" w:rsidRDefault="00496279" w:rsidP="0049627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lastRenderedPageBreak/>
        <w:t>حكومت ولايي، دكتر محسن كديور، تهران، نشر ني، 1387.</w:t>
      </w:r>
    </w:p>
    <w:p w:rsidR="00496279" w:rsidRPr="00C34C6C" w:rsidRDefault="00496279" w:rsidP="00496279">
      <w:pPr>
        <w:pStyle w:val="ListParagraph"/>
        <w:numPr>
          <w:ilvl w:val="0"/>
          <w:numId w:val="12"/>
        </w:numPr>
        <w:bidi/>
        <w:spacing w:after="200" w:line="24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  <w:r w:rsidRPr="00C34C6C">
        <w:rPr>
          <w:rFonts w:ascii="Calibri" w:eastAsia="Calibri" w:hAnsi="Calibri" w:cs="B Nazanin" w:hint="cs"/>
          <w:color w:val="000000" w:themeColor="text1"/>
          <w:sz w:val="28"/>
          <w:szCs w:val="28"/>
          <w:rtl/>
          <w:lang w:bidi="fa-IR"/>
        </w:rPr>
        <w:t xml:space="preserve">بازشناسي حكومت ولايي، (نقدي بر كتاب حكومت ولايي) ، سيد محسن صالح، مركز اسناد انقلاب اسلامي، 1382. 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مقاله دموکراسی در نظام ولایت فقیه، محمدهادی معرفت، اندیشه حوزه، چاپ پنجم، سال پنجم، شماره دوم، 1378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مقاله مردم سالاری دینی؛ امکان یا امتناع مفهومی، دکتر منصور میراحمدی، مجموعه مقالات دومین همایش مردمسالاری دینی، جلد اول، مبانی نظری، دفتر نشر معارف، 1388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277560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مقاله تقریری از مردمسالاری دینی، دکتر احمد واعظی، مجموعه مقالات دومین همایش مردمسالاری دینی، جلد اول، مبانی نظری، دفتر نشر معارف، 1388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Times New Roman" w:hAnsi="Calibri" w:cs="B Nazanin"/>
          <w:color w:val="000000"/>
          <w:sz w:val="28"/>
          <w:szCs w:val="28"/>
          <w:rtl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 xml:space="preserve">مقاله نسبت میان حاکمیت قانون و حاکمیت شرع در نظام حقوقی مشروطه، هدی غفاری، مجله پژوهش های حقوقی شماره 19، نیمسال اول 1390 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>مقاله بررسی نسبت میان حاکمیت قانون و حاکمیت شرع در نظام قضایی ایران،  هدی غفاری مجله پژوهش حقوق و سیاست شماره 36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Calibri" w:hAnsi="Calibri" w:cs="B Nazanin"/>
          <w:color w:val="000000"/>
          <w:sz w:val="28"/>
          <w:szCs w:val="28"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>مقاله حدود استقلال قوه مجریه در برابر قوه مقننه در قوانین اساسی ایران و مالزی، هدی غفاری، مجموعه مقالات همایش ملی قوه مجریه در حقوق اساسی جمهوری اسلامی ایران، معاونت تدوین، تنقیح و انتشار قوانین و مقررات نهاد ریاست جمهوری، 1392</w:t>
      </w:r>
    </w:p>
    <w:p w:rsidR="002012C9" w:rsidRPr="00277560" w:rsidRDefault="002012C9" w:rsidP="00277560">
      <w:pPr>
        <w:pStyle w:val="ListParagraph"/>
        <w:numPr>
          <w:ilvl w:val="0"/>
          <w:numId w:val="12"/>
        </w:numPr>
        <w:bidi/>
        <w:spacing w:after="200" w:line="276" w:lineRule="auto"/>
        <w:jc w:val="both"/>
        <w:rPr>
          <w:rFonts w:ascii="Calibri" w:eastAsia="Calibri" w:hAnsi="Calibri" w:cs="B Nazanin"/>
          <w:color w:val="000000"/>
          <w:sz w:val="28"/>
          <w:szCs w:val="28"/>
          <w:rtl/>
        </w:rPr>
      </w:pPr>
      <w:r w:rsidRPr="00277560">
        <w:rPr>
          <w:rFonts w:ascii="Calibri" w:eastAsia="Calibri" w:hAnsi="Calibri" w:cs="B Nazanin" w:hint="cs"/>
          <w:color w:val="000000"/>
          <w:sz w:val="28"/>
          <w:szCs w:val="28"/>
          <w:rtl/>
        </w:rPr>
        <w:t>مقاله قانون اساسی ایران و قرائت های مختلف از جمهوری اسلامی در آن، محمد جواد جاوید-عصمت شاهمرادی، مجموعه مقالات همایش ملی قوه مجریه در حقوق اساسی جمهوری اسلامی ایران، معاونت تدوین، تنقیح و انتشار قوانین و مقررات نهاد ریاست جمهوری، 1392</w:t>
      </w:r>
    </w:p>
    <w:p w:rsidR="002012C9" w:rsidRPr="002012C9" w:rsidRDefault="002012C9" w:rsidP="002012C9">
      <w:pPr>
        <w:bidi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</w:p>
    <w:p w:rsidR="002012C9" w:rsidRPr="002012C9" w:rsidRDefault="002012C9" w:rsidP="002012C9">
      <w:pPr>
        <w:bidi/>
        <w:spacing w:after="200" w:line="240" w:lineRule="auto"/>
        <w:jc w:val="center"/>
        <w:rPr>
          <w:rFonts w:ascii="Calibri" w:eastAsia="Calibri" w:hAnsi="Calibri" w:cs="B Nazanin"/>
          <w:b/>
          <w:bCs/>
          <w:color w:val="000000"/>
          <w:sz w:val="28"/>
          <w:szCs w:val="28"/>
          <w:rtl/>
          <w:lang w:bidi="fa-IR"/>
        </w:rPr>
      </w:pPr>
      <w:r w:rsidRPr="002012C9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  <w:lang w:bidi="fa-IR"/>
        </w:rPr>
        <w:t>ح: نظریه های دولت</w:t>
      </w:r>
    </w:p>
    <w:p w:rsidR="002012C9" w:rsidRPr="002012C9" w:rsidRDefault="002012C9" w:rsidP="002012C9">
      <w:pPr>
        <w:bidi/>
        <w:spacing w:after="20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الف) فارسی 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27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ارسنجانی ،حسن ، حاکمیت دولت ها، تهران، شرکت سهامی جیبی، 1348.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اورس،تیلمان، ماهیت دولت در جهان سوم ، تهران، انتشارات آگاه ، 1362.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بشیریه، حسین ، عقل در سیاست، تهران ، نشر نگاه معاصر، 1383.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پوچی، جان فرانکو، تکوین دولت مدرن ، ترجمۀ بهزاد باشی، تهران، انتشارات آگاه، 1384.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شوالیه، ژاک، دولت قانونمند، ترجمه حمید رضا ملک محمدی، تهران ، نشر دادگستر، 1378.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کاسیرر، ارنست، افسانه دولت، ترجمه نجف دریابندری، تهران ، خوارزمی، 1362.</w:t>
      </w:r>
    </w:p>
    <w:p w:rsidR="002012C9" w:rsidRPr="00C34C6C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کلی، جان، تاریخ مختصر تئوری حقوقی در غرب، ترجمۀ محمد راسخ، تهران ، طرح نو، 1382.</w:t>
      </w:r>
    </w:p>
    <w:p w:rsidR="006A597D" w:rsidRPr="00C34C6C" w:rsidRDefault="006A597D" w:rsidP="006A597D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C34C6C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وائل ابن حلاق، دولت ممتنع: اسلام، سياست، مخمصه اخلاقي مدرنيته، ترجمه دكتر مهدي رضايي، تهران، خرسندي، 1395. 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وینسنت، اندرو، نظریه های دولت، ترجمۀ حسین بشریه، تهران ، نشر نی، 1381.</w:t>
      </w:r>
    </w:p>
    <w:p w:rsidR="002012C9" w:rsidRPr="002012C9" w:rsidRDefault="002012C9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هلد،  دیوید، شکل گیری دولت مدرن، ترجمۀ عباس مخبر، تهران ، نشر آگه، 1386.</w:t>
      </w:r>
    </w:p>
    <w:p w:rsidR="002012C9" w:rsidRPr="002012C9" w:rsidRDefault="00690BC8" w:rsidP="002012C9">
      <w:pPr>
        <w:numPr>
          <w:ilvl w:val="0"/>
          <w:numId w:val="1"/>
        </w:numPr>
        <w:bidi/>
        <w:spacing w:after="200" w:line="240" w:lineRule="auto"/>
        <w:ind w:left="360" w:hanging="180"/>
        <w:contextualSpacing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نقیب زاده ، احمد،</w:t>
      </w:r>
      <w:r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«</w:t>
      </w:r>
      <w:r w:rsidR="002012C9" w:rsidRPr="002012C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مطالعۀ تطبیقی تحول دولت مدرن در غرب و ایران»، (از مجموعۀ دولت مدرن در ایران، به اهتمام رسول افضلی)، قم ، دانشگاه مفید ، 1386.</w:t>
      </w:r>
    </w:p>
    <w:p w:rsidR="002012C9" w:rsidRPr="002012C9" w:rsidRDefault="002012C9" w:rsidP="002012C9">
      <w:pPr>
        <w:bidi/>
        <w:spacing w:after="200" w:line="240" w:lineRule="auto"/>
        <w:ind w:left="180"/>
        <w:jc w:val="both"/>
        <w:rPr>
          <w:rFonts w:ascii="Calibri" w:eastAsia="Calibri" w:hAnsi="Calibri" w:cs="B Nazanin"/>
          <w:sz w:val="28"/>
          <w:szCs w:val="28"/>
        </w:rPr>
      </w:pPr>
    </w:p>
    <w:p w:rsidR="002012C9" w:rsidRPr="002012C9" w:rsidRDefault="002012C9" w:rsidP="002012C9">
      <w:pPr>
        <w:bidi/>
        <w:spacing w:after="200" w:line="240" w:lineRule="auto"/>
        <w:ind w:left="18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2012C9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ب)  انگلیسی </w:t>
      </w:r>
    </w:p>
    <w:p w:rsidR="002012C9" w:rsidRPr="002012C9" w:rsidRDefault="00277560" w:rsidP="002012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Times New Roman" w:hAnsi="Calibri" w:cs="B Nazanin"/>
          <w:sz w:val="28"/>
          <w:szCs w:val="28"/>
          <w:rtl/>
          <w:lang w:bidi="fa-IR"/>
        </w:rPr>
      </w:pPr>
      <w:proofErr w:type="spellStart"/>
      <w:r>
        <w:rPr>
          <w:rFonts w:ascii="Calibri" w:eastAsia="Times New Roman" w:hAnsi="Calibri" w:cs="B Nazanin"/>
          <w:sz w:val="28"/>
          <w:szCs w:val="28"/>
          <w:lang w:bidi="fa-IR"/>
        </w:rPr>
        <w:t>Pirson</w:t>
      </w:r>
      <w:proofErr w:type="spellEnd"/>
      <w:r>
        <w:rPr>
          <w:rFonts w:ascii="Calibri" w:eastAsia="Times New Roman" w:hAnsi="Calibri" w:cs="B Nazanin"/>
          <w:sz w:val="28"/>
          <w:szCs w:val="28"/>
          <w:lang w:bidi="fa-IR"/>
        </w:rPr>
        <w:t>-Cristofer, “The Modern Sta</w:t>
      </w:r>
      <w:r w:rsidR="002012C9" w:rsidRPr="002012C9">
        <w:rPr>
          <w:rFonts w:ascii="Calibri" w:eastAsia="Times New Roman" w:hAnsi="Calibri" w:cs="B Nazanin"/>
          <w:sz w:val="28"/>
          <w:szCs w:val="28"/>
          <w:lang w:bidi="fa-IR"/>
        </w:rPr>
        <w:t>te</w:t>
      </w:r>
      <w:r w:rsidR="00690BC8" w:rsidRPr="002012C9">
        <w:rPr>
          <w:rFonts w:ascii="Calibri" w:eastAsia="Times New Roman" w:hAnsi="Calibri" w:cs="B Nazanin"/>
          <w:sz w:val="28"/>
          <w:szCs w:val="28"/>
          <w:lang w:bidi="fa-IR"/>
        </w:rPr>
        <w:t>”,</w:t>
      </w:r>
      <w:r w:rsidR="002012C9" w:rsidRPr="002012C9">
        <w:rPr>
          <w:rFonts w:ascii="Calibri" w:eastAsia="Times New Roman" w:hAnsi="Calibri" w:cs="B Nazanin"/>
          <w:sz w:val="28"/>
          <w:szCs w:val="28"/>
          <w:lang w:bidi="fa-IR"/>
        </w:rPr>
        <w:t xml:space="preserve"> Routledge, London and 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New York</w:t>
      </w:r>
      <w:r w:rsidR="00690BC8">
        <w:rPr>
          <w:rFonts w:ascii="Calibri" w:eastAsia="Times New Roman" w:hAnsi="Calibri" w:cs="B Nazanin"/>
          <w:sz w:val="28"/>
          <w:szCs w:val="28"/>
          <w:lang w:bidi="fa-IR"/>
        </w:rPr>
        <w:t xml:space="preserve">, </w:t>
      </w:r>
      <w:r w:rsidR="002012C9" w:rsidRPr="002012C9">
        <w:rPr>
          <w:rFonts w:ascii="Calibri" w:eastAsia="Times New Roman" w:hAnsi="Calibri" w:cs="B Nazanin"/>
          <w:sz w:val="28"/>
          <w:szCs w:val="28"/>
          <w:lang w:bidi="fa-IR"/>
        </w:rPr>
        <w:t>1996.</w:t>
      </w:r>
    </w:p>
    <w:p w:rsidR="002012C9" w:rsidRPr="002012C9" w:rsidRDefault="002012C9" w:rsidP="002012C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" w:eastAsia="Times New Roman" w:hAnsi="Calibri" w:cs="B Nazanin"/>
          <w:sz w:val="28"/>
          <w:szCs w:val="28"/>
          <w:lang w:bidi="fa-IR"/>
        </w:rPr>
      </w:pP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Twining-William, “</w:t>
      </w:r>
      <w:r w:rsidR="00690BC8" w:rsidRPr="002012C9">
        <w:rPr>
          <w:rFonts w:ascii="Calibri" w:eastAsia="Times New Roman" w:hAnsi="Calibri" w:cs="B Nazanin"/>
          <w:sz w:val="28"/>
          <w:szCs w:val="28"/>
          <w:lang w:bidi="fa-IR"/>
        </w:rPr>
        <w:t>Globalization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 xml:space="preserve"> and Legal Theory”, </w:t>
      </w:r>
      <w:r w:rsidR="00690BC8" w:rsidRPr="002012C9">
        <w:rPr>
          <w:rFonts w:ascii="Calibri" w:eastAsia="Times New Roman" w:hAnsi="Calibri" w:cs="B Nazanin"/>
          <w:sz w:val="28"/>
          <w:szCs w:val="28"/>
          <w:lang w:bidi="fa-IR"/>
        </w:rPr>
        <w:t>Butterworth’s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, London, Edinburgh, Dublin</w:t>
      </w:r>
      <w:r w:rsidR="00690BC8">
        <w:rPr>
          <w:rFonts w:ascii="Calibri" w:eastAsia="Times New Roman" w:hAnsi="Calibri" w:cs="B Nazanin"/>
          <w:sz w:val="28"/>
          <w:szCs w:val="28"/>
          <w:lang w:bidi="fa-IR"/>
        </w:rPr>
        <w:t xml:space="preserve">, </w:t>
      </w:r>
      <w:r w:rsidRPr="002012C9">
        <w:rPr>
          <w:rFonts w:ascii="Calibri" w:eastAsia="Times New Roman" w:hAnsi="Calibri" w:cs="B Nazanin"/>
          <w:sz w:val="28"/>
          <w:szCs w:val="28"/>
          <w:lang w:bidi="fa-IR"/>
        </w:rPr>
        <w:t>2000.</w:t>
      </w:r>
    </w:p>
    <w:p w:rsidR="00C60396" w:rsidRDefault="00C60396"/>
    <w:sectPr w:rsidR="00C6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A34"/>
    <w:multiLevelType w:val="hybridMultilevel"/>
    <w:tmpl w:val="5458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F98"/>
    <w:multiLevelType w:val="hybridMultilevel"/>
    <w:tmpl w:val="C2CA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BD8"/>
    <w:multiLevelType w:val="hybridMultilevel"/>
    <w:tmpl w:val="CF60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B2"/>
    <w:multiLevelType w:val="hybridMultilevel"/>
    <w:tmpl w:val="1CE86094"/>
    <w:lvl w:ilvl="0" w:tplc="99D6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41BA5"/>
    <w:multiLevelType w:val="hybridMultilevel"/>
    <w:tmpl w:val="7A2C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5E11"/>
    <w:multiLevelType w:val="hybridMultilevel"/>
    <w:tmpl w:val="D7B8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636"/>
    <w:multiLevelType w:val="hybridMultilevel"/>
    <w:tmpl w:val="EB04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04C0"/>
    <w:multiLevelType w:val="hybridMultilevel"/>
    <w:tmpl w:val="C470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72281"/>
    <w:multiLevelType w:val="hybridMultilevel"/>
    <w:tmpl w:val="E5860A3C"/>
    <w:lvl w:ilvl="0" w:tplc="12861DB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E3A6E3A"/>
    <w:multiLevelType w:val="hybridMultilevel"/>
    <w:tmpl w:val="FCA0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5D"/>
    <w:multiLevelType w:val="hybridMultilevel"/>
    <w:tmpl w:val="47D29A64"/>
    <w:lvl w:ilvl="0" w:tplc="B75C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674DD"/>
    <w:multiLevelType w:val="hybridMultilevel"/>
    <w:tmpl w:val="291A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E"/>
    <w:rsid w:val="00034935"/>
    <w:rsid w:val="00160004"/>
    <w:rsid w:val="00165232"/>
    <w:rsid w:val="002012C9"/>
    <w:rsid w:val="00272EB6"/>
    <w:rsid w:val="00277560"/>
    <w:rsid w:val="003806EE"/>
    <w:rsid w:val="00432069"/>
    <w:rsid w:val="00446644"/>
    <w:rsid w:val="00456D2D"/>
    <w:rsid w:val="0046794E"/>
    <w:rsid w:val="00496279"/>
    <w:rsid w:val="004F43EE"/>
    <w:rsid w:val="005407FE"/>
    <w:rsid w:val="005F7206"/>
    <w:rsid w:val="00681553"/>
    <w:rsid w:val="00690BC8"/>
    <w:rsid w:val="006A597D"/>
    <w:rsid w:val="006E7F0B"/>
    <w:rsid w:val="0073393A"/>
    <w:rsid w:val="00744E6E"/>
    <w:rsid w:val="007911D8"/>
    <w:rsid w:val="00803B35"/>
    <w:rsid w:val="00811449"/>
    <w:rsid w:val="00822516"/>
    <w:rsid w:val="00835D6B"/>
    <w:rsid w:val="008D4947"/>
    <w:rsid w:val="0093788B"/>
    <w:rsid w:val="00C26A3B"/>
    <w:rsid w:val="00C34C6C"/>
    <w:rsid w:val="00C60396"/>
    <w:rsid w:val="00CA4BE0"/>
    <w:rsid w:val="00CA5C25"/>
    <w:rsid w:val="00D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35C7D-B44F-4F48-A003-CE11567D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8EDF-1388-43B9-87AE-708AA641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ms_fakhradkhani</cp:lastModifiedBy>
  <cp:revision>5</cp:revision>
  <dcterms:created xsi:type="dcterms:W3CDTF">2022-04-10T09:03:00Z</dcterms:created>
  <dcterms:modified xsi:type="dcterms:W3CDTF">2022-04-10T09:13:00Z</dcterms:modified>
</cp:coreProperties>
</file>